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32F2F"/>
          <w:sz w:val="20"/>
        </w:rPr>
        <w:t>※ 샘플 양식입니다. 실제 사용 시 상황에 맞게 수정하여 사용하세요.</w:t>
      </w:r>
    </w:p>
    <w:p>
      <w:pPr>
        <w:pStyle w:val="Heading1"/>
      </w:pPr>
      <w:r>
        <w:t>가족관계증명서 발급 신청 체크리스트</w:t>
      </w:r>
    </w:p>
    <w:p>
      <w:r>
        <w:rPr>
          <w:b w:val="0"/>
          <w:sz w:val="22"/>
        </w:rPr>
        <w:t>온라인 발급(대법원 전자가족관계등록시스템 · 정부24)은 무료, PDF 즉시 출력이 가능합니다.</w:t>
      </w:r>
    </w:p>
    <w:p>
      <w:r>
        <w:t>□ 발급 경로 선택: 대법원 전자가족관계등록시스템(efamily.scourt.go.kr) / 정부24(gov.kr) / 무인민원발급기(500원) / 주민센터(1,000원)</w:t>
      </w:r>
    </w:p>
    <w:p>
      <w:r>
        <w:t>□ 본인인증 수단 준비 (대법원: 공동·금융인증서 / 정부24: 간편인증 가능)</w:t>
      </w:r>
    </w:p>
    <w:p>
      <w:r>
        <w:t>□ 증명서 종류 선택 — 일반(현재 신분관계만) / 상세(과거 이력 포함) / 특정(원하는 항목만)</w:t>
      </w:r>
    </w:p>
    <w:p>
      <w:r>
        <w:t>□ 용도별 종류 확인: 학교·장학금·금융기관 제출 → 일반 / 상속·법원·보험금 청구 → 상세</w:t>
      </w:r>
    </w:p>
    <w:p>
      <w:r>
        <w:t>□ 주민등록번호 공개 여부 선택 (전체 공개 / 뒷자리 마스킹)</w:t>
      </w:r>
    </w:p>
    <w:p>
      <w:r>
        <w:t>□ 제출처 입력 (공란 가능)</w:t>
      </w:r>
    </w:p>
    <w:p>
      <w:r>
        <w:t>□ 대리인 발급이 필요하면 주민센터 방문 (직계가족: 대리인 신분증 + 가족관계 확인 서류)</w:t>
      </w:r>
    </w:p>
    <w:p>
      <w:r>
        <w:t>□ 발급 후: 제출처 요구사항(일반/상세, 공개/마스킹)과 일치하는지 확인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